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6"/>
        <w:tblpPr w:leftFromText="180" w:rightFromText="180" w:horzAnchor="margin" w:tblpXSpec="center" w:tblpY="900"/>
        <w:bidiVisual/>
        <w:tblW w:w="9781" w:type="dxa"/>
        <w:tblInd w:w="-591" w:type="dxa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276"/>
        <w:gridCol w:w="1417"/>
        <w:gridCol w:w="851"/>
      </w:tblGrid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شماره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عنوان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نویسنده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رشته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مقطع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 xml:space="preserve"> </w:t>
            </w:r>
            <w:r w:rsidRPr="00E57FD3">
              <w:rPr>
                <w:rFonts w:ascii="Calibri" w:eastAsia="Calibri" w:hAnsi="Calibri" w:cs="B Nazanin"/>
                <w:rtl/>
                <w:lang w:bidi="fa-IR"/>
              </w:rPr>
              <w:t>بازنمایی تاریخ اسلام از دیدگاه دولت اسلامی داعش مطالعه موردی دو نشریه دابق و رومیه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فاطمه متوسلی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یاسر قزوینی حائری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 xml:space="preserve">تاریخ </w:t>
            </w:r>
          </w:p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اسلام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ب</w:t>
            </w: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>ررسی سبک شناسی زبان آثار معینی از بهرام بیضائی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فروزان پرورده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مهدی علیایی مقدم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فارسی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بررسی شکلی و محتوایی وقف نامه های زنان دوره قاجار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نسرین عباسی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حسن زندیه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 xml:space="preserve">تاریخ </w:t>
            </w:r>
          </w:p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اسناد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بررسی نسبت ایده آلیسم بارکلی و کانت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نرگس عباسی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محمدرضا حسینی بهشتی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فلسفه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5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imes New Roman" w:eastAsia="Calibri" w:hAnsi="Times New Roman" w:hint="cs"/>
                <w:color w:val="000000"/>
                <w:shd w:val="clear" w:color="auto" w:fill="FFFFFF"/>
                <w:rtl/>
                <w:lang w:bidi="fa-IR"/>
              </w:rPr>
              <w:t> </w:t>
            </w:r>
            <w:r w:rsidRPr="00E57FD3">
              <w:rPr>
                <w:rFonts w:ascii="Calibri" w:eastAsia="Calibri" w:hAnsi="Calibri" w:cs="B Nazanin"/>
                <w:rtl/>
                <w:lang w:bidi="fa-IR"/>
              </w:rPr>
              <w:t xml:space="preserve">  تحلیل سبک حماسه ی بانو گشسپ نامه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آمنه دیلمی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حمیرا زمردی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فارسی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ترجمه کتاب تنمیه المهارات اللغويه الاطفال ماقبل المدرسه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هانیه درستکار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سعدالله همایونی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ادبیات عرب مترجمی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ترجمه و شرح دیوان جمیل بثینه</w:t>
            </w:r>
          </w:p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lang w:bidi="fa-IR"/>
              </w:rPr>
            </w:pP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زینب فمی تفرشی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امیرمحمود کاشفی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عرب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8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 xml:space="preserve"> </w:t>
            </w:r>
            <w:r w:rsidRPr="00E57FD3">
              <w:rPr>
                <w:rFonts w:ascii="Calibri" w:eastAsia="Calibri" w:hAnsi="Calibri" w:cs="B Nazanin"/>
                <w:rtl/>
                <w:lang w:bidi="fa-IR"/>
              </w:rPr>
              <w:t>تصحیح شرح و مستندسازی نسخه خطی کلام المهدی نوشته سید محمد المشهشع از ص ۱۸۱ تا پایان نوشته</w:t>
            </w: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  <w:t> 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علی شکوری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محمدحسن فوادیان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 xml:space="preserve"> زبان وادبیات عرب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9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rtl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>تصویرپرداز ی تطبیقی واقعه عاشورا در دیوان احمد وائلی و دیوان نیر تبریزی</w:t>
            </w: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  <w:t> 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حسن کاهه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محمد دزفولی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عرب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دکتری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right="-351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Times New Roman" w:eastAsia="Calibri" w:hAnsi="Times New Roman" w:hint="cs"/>
                <w:color w:val="000000"/>
                <w:shd w:val="clear" w:color="auto" w:fill="FFFFFF"/>
                <w:rtl/>
                <w:lang w:bidi="fa-IR"/>
              </w:rPr>
              <w:t> </w:t>
            </w: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>جمع آوری و بررسی اشعار عربی شیخ بهایی</w:t>
            </w:r>
          </w:p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زهره خورسندی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عزت ملاابراهیمی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عرب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left="66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11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خلیج فارس در جغرافیای ذهنی جغرافیدانان و منجمان مسلمان تا سده ی هشتم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علیرضا کجویی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محمدباقر وثوقی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تاریخ</w:t>
            </w:r>
          </w:p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خلیج فارس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left="66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12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>سیاست‌ های اقتصادی دولت صفویه درباره کلیساهای ارمنی و گرجی قفقاز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>زهرا محمدپور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گودرز رشتیانی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 xml:space="preserve">تاریخ </w:t>
            </w:r>
          </w:p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قفقاز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left="66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13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ملابسات تحويل الريادة الشعريه من مصر إلى العراق في الشعر الحداثي على ضوء النقد الثقافي المقارن عبدالوهاب البياتي صلاح عبدالصبور امل دنقل انموذجا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محمد سالمی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ابوالحسن امین مقدسی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 xml:space="preserve"> زبان وادبیات عرب 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دکتری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ind w:left="66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14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  <w:t xml:space="preserve"> نسبت سنت و مدرنیته در آراء و نظریات طالبوف تبریزی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rtl/>
                <w:lang w:bidi="fa-IR"/>
              </w:rPr>
            </w:pPr>
            <w:r w:rsidRPr="00E57FD3">
              <w:rPr>
                <w:rFonts w:ascii="Tahoma" w:eastAsia="Calibri" w:hAnsi="Tahoma" w:cs="B Nazanin" w:hint="cs"/>
                <w:color w:val="000000"/>
                <w:shd w:val="clear" w:color="auto" w:fill="FFFFFF"/>
                <w:rtl/>
                <w:lang w:bidi="fa-IR"/>
              </w:rPr>
              <w:t>آزیتا دهقانیان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حسین مصباحیان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ایرانشناسی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ارشد</w:t>
            </w:r>
          </w:p>
        </w:tc>
      </w:tr>
      <w:tr w:rsidR="00884B6B" w:rsidRPr="00E57FD3" w:rsidTr="00E924C4">
        <w:tc>
          <w:tcPr>
            <w:tcW w:w="56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111" w:type="dxa"/>
          </w:tcPr>
          <w:p w:rsidR="00884B6B" w:rsidRPr="00E57FD3" w:rsidRDefault="00884B6B" w:rsidP="00E924C4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/>
                <w:rtl/>
                <w:lang w:bidi="fa-IR"/>
              </w:rPr>
              <w:t>نقد و بررسی عناصر هویت فرهنگی درادبیات معاصر سوریه و ایران مطالعه موردی رمان الوباء اثر هانی الراهب ورمان داستان یک شهر اثر احمد محمود</w:t>
            </w:r>
          </w:p>
        </w:tc>
        <w:tc>
          <w:tcPr>
            <w:tcW w:w="1559" w:type="dxa"/>
          </w:tcPr>
          <w:p w:rsidR="00884B6B" w:rsidRPr="00E57FD3" w:rsidRDefault="00884B6B" w:rsidP="00E924C4">
            <w:pPr>
              <w:jc w:val="center"/>
              <w:rPr>
                <w:rFonts w:ascii="Tahoma" w:eastAsia="Calibri" w:hAnsi="Tahoma" w:cs="B Nazanin"/>
                <w:color w:val="000000"/>
                <w:shd w:val="clear" w:color="auto" w:fill="FFFFFF"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یارا مرهج</w:t>
            </w:r>
          </w:p>
        </w:tc>
        <w:tc>
          <w:tcPr>
            <w:tcW w:w="1276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 مصطفی موسوی راد</w:t>
            </w:r>
          </w:p>
        </w:tc>
        <w:tc>
          <w:tcPr>
            <w:tcW w:w="1417" w:type="dxa"/>
          </w:tcPr>
          <w:p w:rsidR="00884B6B" w:rsidRPr="00E57FD3" w:rsidRDefault="00884B6B" w:rsidP="00E924C4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زبان و ادبیات فارسی</w:t>
            </w:r>
          </w:p>
        </w:tc>
        <w:tc>
          <w:tcPr>
            <w:tcW w:w="851" w:type="dxa"/>
          </w:tcPr>
          <w:p w:rsidR="00884B6B" w:rsidRPr="00E57FD3" w:rsidRDefault="00884B6B" w:rsidP="00E924C4">
            <w:pPr>
              <w:rPr>
                <w:rFonts w:ascii="Calibri" w:eastAsia="Calibri" w:hAnsi="Calibri" w:cs="B Nazanin"/>
                <w:rtl/>
                <w:lang w:bidi="fa-IR"/>
              </w:rPr>
            </w:pPr>
            <w:r w:rsidRPr="00E57FD3">
              <w:rPr>
                <w:rFonts w:ascii="Calibri" w:eastAsia="Calibri" w:hAnsi="Calibri" w:cs="B Nazanin" w:hint="cs"/>
                <w:rtl/>
                <w:lang w:bidi="fa-IR"/>
              </w:rPr>
              <w:t>دکتری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1B"/>
    <w:rsid w:val="001B061B"/>
    <w:rsid w:val="006E3160"/>
    <w:rsid w:val="00884B6B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6B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88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6B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88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2021-09-22T19:36:00Z</dcterms:created>
  <dcterms:modified xsi:type="dcterms:W3CDTF">2021-09-22T19:36:00Z</dcterms:modified>
</cp:coreProperties>
</file>